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2AD18AF" w:rsidR="00CF48D8" w:rsidRPr="00477270" w:rsidRDefault="000800E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26. Sakramentalia katolickie</w:t>
      </w:r>
    </w:p>
    <w:p w14:paraId="41E0D1D0" w14:textId="5FA969CB" w:rsidR="00CF48D8" w:rsidRPr="00577852" w:rsidRDefault="00CF48D8" w:rsidP="000800E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800E2" w:rsidRPr="000800E2">
        <w:rPr>
          <w:rFonts w:ascii="Times New Roman" w:hAnsi="Times New Roman" w:cs="Times New Roman"/>
          <w:bCs/>
          <w:sz w:val="24"/>
          <w:szCs w:val="28"/>
        </w:rPr>
        <w:t>Przypomnienie i poszerzenie wia</w:t>
      </w:r>
      <w:r w:rsidR="000800E2">
        <w:rPr>
          <w:rFonts w:ascii="Times New Roman" w:hAnsi="Times New Roman" w:cs="Times New Roman"/>
          <w:bCs/>
          <w:sz w:val="24"/>
          <w:szCs w:val="28"/>
        </w:rPr>
        <w:t xml:space="preserve">domości na temat sakramentaliów. </w:t>
      </w:r>
      <w:r w:rsidR="000800E2" w:rsidRPr="000800E2">
        <w:rPr>
          <w:rFonts w:ascii="Times New Roman" w:hAnsi="Times New Roman" w:cs="Times New Roman"/>
          <w:bCs/>
          <w:sz w:val="24"/>
          <w:szCs w:val="28"/>
        </w:rPr>
        <w:t>Ukazanie znaczenia sakramentaliów w życiu chrześcijanina.</w:t>
      </w:r>
      <w:r w:rsidR="000800E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800E2" w:rsidRPr="000800E2">
        <w:rPr>
          <w:rFonts w:ascii="Times New Roman" w:hAnsi="Times New Roman" w:cs="Times New Roman"/>
          <w:bCs/>
          <w:sz w:val="24"/>
          <w:szCs w:val="28"/>
        </w:rPr>
        <w:t>Przypomnienie wiadomości o pogrzebie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0083F9B" w:rsidR="00CF48D8" w:rsidRPr="00477270" w:rsidRDefault="00CF48D8" w:rsidP="000800E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800E2" w:rsidRPr="000800E2">
        <w:rPr>
          <w:rFonts w:ascii="Times New Roman" w:hAnsi="Times New Roman" w:cs="Times New Roman"/>
          <w:sz w:val="24"/>
          <w:szCs w:val="28"/>
        </w:rPr>
        <w:t>Pismo Święte, tablica szkolna, krzyż, karty pra</w:t>
      </w:r>
      <w:r w:rsidR="000800E2">
        <w:rPr>
          <w:rFonts w:ascii="Times New Roman" w:hAnsi="Times New Roman" w:cs="Times New Roman"/>
          <w:sz w:val="24"/>
          <w:szCs w:val="28"/>
        </w:rPr>
        <w:t>cy dla uczniów</w:t>
      </w:r>
      <w:r w:rsidR="000800E2" w:rsidRPr="000800E2">
        <w:rPr>
          <w:rFonts w:ascii="Times New Roman" w:hAnsi="Times New Roman" w:cs="Times New Roman"/>
          <w:sz w:val="24"/>
          <w:szCs w:val="28"/>
        </w:rPr>
        <w:t>, brystol, mazaki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73C75329" w14:textId="4D71128A" w:rsidR="00376860" w:rsidRPr="00361C53" w:rsidRDefault="0089792D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8"/>
        </w:rPr>
        <w:t>Modlitwa</w:t>
      </w:r>
      <w:r w:rsidR="00C97567">
        <w:rPr>
          <w:rFonts w:ascii="Times New Roman" w:hAnsi="Times New Roman" w:cs="Times New Roman"/>
          <w:sz w:val="24"/>
          <w:szCs w:val="28"/>
        </w:rPr>
        <w:t xml:space="preserve"> </w:t>
      </w:r>
      <w:r w:rsidR="000800E2">
        <w:rPr>
          <w:rFonts w:ascii="Times New Roman" w:hAnsi="Times New Roman" w:cs="Times New Roman"/>
          <w:sz w:val="24"/>
          <w:szCs w:val="28"/>
        </w:rPr>
        <w:t xml:space="preserve">Jabesa: </w:t>
      </w:r>
      <w:r w:rsidR="000800E2" w:rsidRPr="000800E2">
        <w:rPr>
          <w:rFonts w:ascii="Times New Roman" w:hAnsi="Times New Roman" w:cs="Times New Roman"/>
          <w:sz w:val="24"/>
          <w:szCs w:val="28"/>
        </w:rPr>
        <w:t>1 Krn 4,10</w:t>
      </w:r>
    </w:p>
    <w:p w14:paraId="6F2F58DD" w14:textId="24E6015E" w:rsidR="00361C53" w:rsidRPr="007512C5" w:rsidRDefault="007512C5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„D</w:t>
      </w:r>
      <w:r w:rsidR="000800E2">
        <w:rPr>
          <w:rFonts w:ascii="Times New Roman" w:hAnsi="Times New Roman" w:cs="Times New Roman"/>
          <w:sz w:val="24"/>
          <w:szCs w:val="28"/>
        </w:rPr>
        <w:t>ylematy młodego człowieka” s.104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4388BD20" w14:textId="5F3A59BB" w:rsidR="007512C5" w:rsidRPr="000800E2" w:rsidRDefault="000800E2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Sakramentalia – burza mózgów. </w:t>
      </w:r>
    </w:p>
    <w:p w14:paraId="5C913EF6" w14:textId="2A9EB3BB" w:rsidR="000800E2" w:rsidRPr="000800E2" w:rsidRDefault="000800E2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Formularze. „Wiara i życie chrześcijan” s.104-105.</w:t>
      </w:r>
      <w:bookmarkStart w:id="0" w:name="_GoBack"/>
      <w:bookmarkEnd w:id="0"/>
    </w:p>
    <w:p w14:paraId="2561D83D" w14:textId="64FDF59D" w:rsidR="000800E2" w:rsidRPr="000800E2" w:rsidRDefault="000800E2" w:rsidP="000800E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KKK 1</w:t>
      </w:r>
      <w:r w:rsidRPr="000800E2">
        <w:rPr>
          <w:rFonts w:ascii="Times New Roman" w:hAnsi="Times New Roman" w:cs="Times New Roman"/>
          <w:sz w:val="24"/>
          <w:szCs w:val="28"/>
        </w:rPr>
        <w:t>668-1690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C3DAC0A" w14:textId="04EE967C" w:rsidR="000800E2" w:rsidRPr="000800E2" w:rsidRDefault="000800E2" w:rsidP="000800E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Krzyż znakiem odkupienia i miłości Boga.</w:t>
      </w:r>
    </w:p>
    <w:p w14:paraId="1ED5A383" w14:textId="6B1B63D8" w:rsidR="000800E2" w:rsidRPr="000800E2" w:rsidRDefault="000800E2" w:rsidP="000800E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Plakaty: błogosławieństwa, poświęcenia, pogrzeb katolicki, egzorcyzmy.</w:t>
      </w:r>
    </w:p>
    <w:p w14:paraId="35BE4516" w14:textId="7B7E7F51" w:rsidR="000800E2" w:rsidRPr="00361C53" w:rsidRDefault="000800E2" w:rsidP="000800E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Modlitwa s.106.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63F9BB8F" w14:textId="77777777" w:rsidR="000800E2" w:rsidRDefault="000800E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Notatka</w:t>
      </w:r>
    </w:p>
    <w:p w14:paraId="20E93C6F" w14:textId="43066E98" w:rsidR="000800E2" w:rsidRPr="000800E2" w:rsidRDefault="000800E2" w:rsidP="000800E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1. Sakramentalia to święte znaki ustanowione przez Kościół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800E2">
        <w:rPr>
          <w:rFonts w:ascii="Times New Roman" w:hAnsi="Times New Roman" w:cs="Times New Roman"/>
          <w:sz w:val="24"/>
          <w:szCs w:val="28"/>
        </w:rPr>
        <w:t>dla uzyskania dobra duchowego wiernych. Opierają się na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800E2">
        <w:rPr>
          <w:rFonts w:ascii="Times New Roman" w:hAnsi="Times New Roman" w:cs="Times New Roman"/>
          <w:sz w:val="24"/>
          <w:szCs w:val="28"/>
        </w:rPr>
        <w:t>modlitwie, której najczęściej towarzyszy określony znak.</w:t>
      </w:r>
    </w:p>
    <w:p w14:paraId="2EC03356" w14:textId="68CD8CCA" w:rsidR="000800E2" w:rsidRPr="000800E2" w:rsidRDefault="000800E2" w:rsidP="000800E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2. Sakramentalia dzielimy na: błogosławieństwa, poświęcenia i gzorcyzmy.</w:t>
      </w:r>
    </w:p>
    <w:p w14:paraId="1E7E28E2" w14:textId="77777777" w:rsidR="000800E2" w:rsidRPr="000800E2" w:rsidRDefault="000800E2" w:rsidP="000800E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3. Sakramentalia łączy znak krzyża świętego.</w:t>
      </w:r>
    </w:p>
    <w:p w14:paraId="560E5C0D" w14:textId="2D406965" w:rsidR="000800E2" w:rsidRPr="000800E2" w:rsidRDefault="000800E2" w:rsidP="000800E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 xml:space="preserve">4. Sakramentalia powinny prowadzić do spotkania z Bogiem w </w:t>
      </w:r>
      <w:r>
        <w:rPr>
          <w:rFonts w:ascii="Times New Roman" w:hAnsi="Times New Roman" w:cs="Times New Roman"/>
          <w:sz w:val="24"/>
          <w:szCs w:val="28"/>
        </w:rPr>
        <w:t>s</w:t>
      </w:r>
      <w:r w:rsidRPr="000800E2">
        <w:rPr>
          <w:rFonts w:ascii="Times New Roman" w:hAnsi="Times New Roman" w:cs="Times New Roman"/>
          <w:sz w:val="24"/>
          <w:szCs w:val="28"/>
        </w:rPr>
        <w:t>akramentach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800E2">
        <w:rPr>
          <w:rFonts w:ascii="Times New Roman" w:hAnsi="Times New Roman" w:cs="Times New Roman"/>
          <w:sz w:val="24"/>
          <w:szCs w:val="28"/>
        </w:rPr>
        <w:t>świętych.</w:t>
      </w:r>
    </w:p>
    <w:p w14:paraId="7FEE3E67" w14:textId="77777777" w:rsidR="000800E2" w:rsidRPr="000800E2" w:rsidRDefault="000800E2" w:rsidP="000800E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5. Poświęcenia i egzorcyzmy mogą odprawiać wyłącznie księża. Świeccy</w:t>
      </w:r>
    </w:p>
    <w:p w14:paraId="71DCF3E5" w14:textId="77777777" w:rsidR="000800E2" w:rsidRPr="000800E2" w:rsidRDefault="000800E2" w:rsidP="000800E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mogą błogosławić pojedyncze osoby i poświęcić przedmioty niezwiązane</w:t>
      </w:r>
    </w:p>
    <w:p w14:paraId="70E40E33" w14:textId="44858968" w:rsidR="000800E2" w:rsidRPr="000800E2" w:rsidRDefault="000800E2" w:rsidP="000800E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z kultem, jeśli nie może tego uczynić kapłan.</w:t>
      </w:r>
    </w:p>
    <w:p w14:paraId="78019FC1" w14:textId="77777777" w:rsidR="000800E2" w:rsidRDefault="000800E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14:paraId="15BB09A0" w14:textId="7E9D3AC2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55338D3D" w:rsidR="00361C53" w:rsidRPr="00361C53" w:rsidRDefault="000800E2" w:rsidP="000800E2">
      <w:pPr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Ułóż błogosławieństwo: dla swojej rodziny albo znajomych, dla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800E2">
        <w:rPr>
          <w:rFonts w:ascii="Times New Roman" w:hAnsi="Times New Roman" w:cs="Times New Roman"/>
          <w:sz w:val="24"/>
          <w:szCs w:val="28"/>
        </w:rPr>
        <w:t>ojczyzny lub świata. Możesz pobłogosławić wybrane osoby i kontynuować</w:t>
      </w:r>
      <w:r>
        <w:rPr>
          <w:rFonts w:ascii="Times New Roman" w:hAnsi="Times New Roman" w:cs="Times New Roman"/>
          <w:sz w:val="24"/>
          <w:szCs w:val="28"/>
        </w:rPr>
        <w:t xml:space="preserve"> ten zwyczaj</w:t>
      </w:r>
      <w:r w:rsidR="00361C53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1D4CA93C" w14:textId="77777777" w:rsidR="000800E2" w:rsidRPr="000800E2" w:rsidRDefault="000800E2" w:rsidP="000800E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Co to są sakramentalia?</w:t>
      </w:r>
    </w:p>
    <w:p w14:paraId="21051BD2" w14:textId="77777777" w:rsidR="000800E2" w:rsidRPr="000800E2" w:rsidRDefault="000800E2" w:rsidP="000800E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Czym różnią się sakramentalia od sakramentów?</w:t>
      </w:r>
    </w:p>
    <w:p w14:paraId="5C090388" w14:textId="77777777" w:rsidR="000800E2" w:rsidRPr="000800E2" w:rsidRDefault="000800E2" w:rsidP="000800E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Jak dzielimy sakramentalia?</w:t>
      </w:r>
    </w:p>
    <w:p w14:paraId="60D953BE" w14:textId="77777777" w:rsidR="000800E2" w:rsidRPr="000800E2" w:rsidRDefault="000800E2" w:rsidP="000800E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Co łączy wszystkie sakramentalia?</w:t>
      </w:r>
    </w:p>
    <w:p w14:paraId="0C6E89FA" w14:textId="77777777" w:rsidR="000800E2" w:rsidRPr="000800E2" w:rsidRDefault="000800E2" w:rsidP="000800E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Kto może błogosławić ludzi i przedmioty?</w:t>
      </w:r>
    </w:p>
    <w:p w14:paraId="029052E4" w14:textId="09D9180E" w:rsidR="000800E2" w:rsidRPr="000800E2" w:rsidRDefault="000800E2" w:rsidP="000800E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Kto może egzorcyzmować, błogosławić i poświęcać Bogu ludzi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800E2">
        <w:rPr>
          <w:rFonts w:ascii="Times New Roman" w:hAnsi="Times New Roman" w:cs="Times New Roman"/>
          <w:sz w:val="24"/>
          <w:szCs w:val="28"/>
        </w:rPr>
        <w:t>i przedmioty?</w:t>
      </w:r>
    </w:p>
    <w:p w14:paraId="75C8A082" w14:textId="77777777" w:rsidR="000800E2" w:rsidRPr="000800E2" w:rsidRDefault="000800E2" w:rsidP="000800E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Jak należy się zachować, gdy błogosławi nas kapłan?</w:t>
      </w:r>
    </w:p>
    <w:p w14:paraId="2CC29776" w14:textId="77777777" w:rsidR="000800E2" w:rsidRPr="000800E2" w:rsidRDefault="000800E2" w:rsidP="000800E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Jakie są części pogrzebu chrześcijańskiego?</w:t>
      </w:r>
    </w:p>
    <w:p w14:paraId="5A931D58" w14:textId="4CAE4715" w:rsidR="00215E1C" w:rsidRPr="000800E2" w:rsidRDefault="000800E2" w:rsidP="000800E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800E2">
        <w:rPr>
          <w:rFonts w:ascii="Times New Roman" w:hAnsi="Times New Roman" w:cs="Times New Roman"/>
          <w:sz w:val="24"/>
          <w:szCs w:val="28"/>
        </w:rPr>
        <w:t>Do jakich ważniejszych obrzędów religijnych powinny nas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800E2">
        <w:rPr>
          <w:rFonts w:ascii="Times New Roman" w:hAnsi="Times New Roman" w:cs="Times New Roman"/>
          <w:sz w:val="24"/>
          <w:szCs w:val="28"/>
        </w:rPr>
        <w:t>prowadzić sakramentalia?</w:t>
      </w:r>
    </w:p>
    <w:sectPr w:rsidR="00215E1C" w:rsidRPr="000800E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BD757" w14:textId="77777777" w:rsidR="001E5F8C" w:rsidRDefault="001E5F8C" w:rsidP="009B214A">
      <w:pPr>
        <w:spacing w:after="0" w:line="240" w:lineRule="auto"/>
      </w:pPr>
      <w:r>
        <w:separator/>
      </w:r>
    </w:p>
  </w:endnote>
  <w:endnote w:type="continuationSeparator" w:id="0">
    <w:p w14:paraId="1D4DD1D1" w14:textId="77777777" w:rsidR="001E5F8C" w:rsidRDefault="001E5F8C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9696E" w14:textId="77777777" w:rsidR="001E5F8C" w:rsidRDefault="001E5F8C" w:rsidP="009B214A">
      <w:pPr>
        <w:spacing w:after="0" w:line="240" w:lineRule="auto"/>
      </w:pPr>
      <w:r>
        <w:separator/>
      </w:r>
    </w:p>
  </w:footnote>
  <w:footnote w:type="continuationSeparator" w:id="0">
    <w:p w14:paraId="01741201" w14:textId="77777777" w:rsidR="001E5F8C" w:rsidRDefault="001E5F8C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9"/>
  </w:num>
  <w:num w:numId="4">
    <w:abstractNumId w:val="1"/>
  </w:num>
  <w:num w:numId="5">
    <w:abstractNumId w:val="5"/>
  </w:num>
  <w:num w:numId="6">
    <w:abstractNumId w:val="37"/>
  </w:num>
  <w:num w:numId="7">
    <w:abstractNumId w:val="4"/>
  </w:num>
  <w:num w:numId="8">
    <w:abstractNumId w:val="32"/>
  </w:num>
  <w:num w:numId="9">
    <w:abstractNumId w:val="14"/>
  </w:num>
  <w:num w:numId="10">
    <w:abstractNumId w:val="25"/>
  </w:num>
  <w:num w:numId="11">
    <w:abstractNumId w:val="20"/>
  </w:num>
  <w:num w:numId="12">
    <w:abstractNumId w:val="8"/>
  </w:num>
  <w:num w:numId="13">
    <w:abstractNumId w:val="31"/>
  </w:num>
  <w:num w:numId="14">
    <w:abstractNumId w:val="29"/>
  </w:num>
  <w:num w:numId="15">
    <w:abstractNumId w:val="12"/>
  </w:num>
  <w:num w:numId="16">
    <w:abstractNumId w:val="19"/>
  </w:num>
  <w:num w:numId="17">
    <w:abstractNumId w:val="6"/>
  </w:num>
  <w:num w:numId="18">
    <w:abstractNumId w:val="36"/>
  </w:num>
  <w:num w:numId="19">
    <w:abstractNumId w:val="33"/>
  </w:num>
  <w:num w:numId="20">
    <w:abstractNumId w:val="38"/>
  </w:num>
  <w:num w:numId="21">
    <w:abstractNumId w:val="11"/>
  </w:num>
  <w:num w:numId="22">
    <w:abstractNumId w:val="24"/>
  </w:num>
  <w:num w:numId="23">
    <w:abstractNumId w:val="7"/>
  </w:num>
  <w:num w:numId="24">
    <w:abstractNumId w:val="13"/>
  </w:num>
  <w:num w:numId="25">
    <w:abstractNumId w:val="10"/>
  </w:num>
  <w:num w:numId="26">
    <w:abstractNumId w:val="26"/>
  </w:num>
  <w:num w:numId="27">
    <w:abstractNumId w:val="17"/>
  </w:num>
  <w:num w:numId="28">
    <w:abstractNumId w:val="16"/>
  </w:num>
  <w:num w:numId="29">
    <w:abstractNumId w:val="22"/>
  </w:num>
  <w:num w:numId="30">
    <w:abstractNumId w:val="34"/>
  </w:num>
  <w:num w:numId="31">
    <w:abstractNumId w:val="18"/>
  </w:num>
  <w:num w:numId="32">
    <w:abstractNumId w:val="28"/>
  </w:num>
  <w:num w:numId="33">
    <w:abstractNumId w:val="21"/>
  </w:num>
  <w:num w:numId="34">
    <w:abstractNumId w:val="15"/>
  </w:num>
  <w:num w:numId="35">
    <w:abstractNumId w:val="35"/>
  </w:num>
  <w:num w:numId="36">
    <w:abstractNumId w:val="2"/>
  </w:num>
  <w:num w:numId="37">
    <w:abstractNumId w:val="27"/>
  </w:num>
  <w:num w:numId="38">
    <w:abstractNumId w:val="0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00E2"/>
    <w:rsid w:val="00082B2B"/>
    <w:rsid w:val="0008722E"/>
    <w:rsid w:val="000D7990"/>
    <w:rsid w:val="000E1E58"/>
    <w:rsid w:val="000F7482"/>
    <w:rsid w:val="001239FD"/>
    <w:rsid w:val="00126A24"/>
    <w:rsid w:val="001971BA"/>
    <w:rsid w:val="001E5F8C"/>
    <w:rsid w:val="001E6EBB"/>
    <w:rsid w:val="00215E1C"/>
    <w:rsid w:val="002C09A7"/>
    <w:rsid w:val="0034240E"/>
    <w:rsid w:val="00345F1A"/>
    <w:rsid w:val="00361C53"/>
    <w:rsid w:val="00376860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6D43C8"/>
    <w:rsid w:val="007038BC"/>
    <w:rsid w:val="00731296"/>
    <w:rsid w:val="007512C5"/>
    <w:rsid w:val="00767FDA"/>
    <w:rsid w:val="0079715E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021E7"/>
    <w:rsid w:val="00B43566"/>
    <w:rsid w:val="00B462FB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61E58-D52E-4B42-9F3F-A3D8A0DE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31</cp:revision>
  <dcterms:created xsi:type="dcterms:W3CDTF">2021-07-23T20:32:00Z</dcterms:created>
  <dcterms:modified xsi:type="dcterms:W3CDTF">2022-06-21T07:32:00Z</dcterms:modified>
</cp:coreProperties>
</file>